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213" w:rsidRPr="00E20213" w:rsidRDefault="00E20213" w:rsidP="00E20213">
      <w:pPr>
        <w:shd w:val="clear" w:color="auto" w:fill="FFFFFF"/>
        <w:spacing w:after="75" w:line="288" w:lineRule="atLeast"/>
        <w:outlineLvl w:val="0"/>
        <w:rPr>
          <w:rFonts w:ascii="Georgia" w:eastAsia="Times New Roman" w:hAnsi="Georgia" w:cs="Times New Roman"/>
          <w:color w:val="313131"/>
          <w:kern w:val="36"/>
          <w:sz w:val="67"/>
          <w:szCs w:val="67"/>
          <w:lang w:eastAsia="it-IT"/>
        </w:rPr>
      </w:pPr>
      <w:r w:rsidRPr="00E20213">
        <w:rPr>
          <w:rFonts w:ascii="Georgia" w:eastAsia="Times New Roman" w:hAnsi="Georgia" w:cs="Times New Roman"/>
          <w:color w:val="313131"/>
          <w:kern w:val="36"/>
          <w:sz w:val="67"/>
          <w:szCs w:val="67"/>
          <w:lang w:eastAsia="it-IT"/>
        </w:rPr>
        <w:t>Generali, Welfare Champion 2020: le 78 imprese premiate</w:t>
      </w:r>
    </w:p>
    <w:p w:rsidR="00E20213" w:rsidRPr="00E20213" w:rsidRDefault="00E20213" w:rsidP="00E20213">
      <w:pPr>
        <w:shd w:val="clear" w:color="auto" w:fill="FFFFFF"/>
        <w:spacing w:after="0" w:line="240" w:lineRule="auto"/>
        <w:outlineLvl w:val="1"/>
        <w:rPr>
          <w:rFonts w:ascii="Georgia" w:eastAsia="Times New Roman" w:hAnsi="Georgia" w:cs="Times New Roman"/>
          <w:i/>
          <w:iCs/>
          <w:color w:val="555555"/>
          <w:sz w:val="38"/>
          <w:szCs w:val="38"/>
          <w:lang w:eastAsia="it-IT"/>
        </w:rPr>
      </w:pPr>
      <w:r w:rsidRPr="00E20213">
        <w:rPr>
          <w:rFonts w:ascii="Georgia" w:eastAsia="Times New Roman" w:hAnsi="Georgia" w:cs="Times New Roman"/>
          <w:i/>
          <w:iCs/>
          <w:color w:val="555555"/>
          <w:sz w:val="38"/>
          <w:szCs w:val="38"/>
          <w:lang w:eastAsia="it-IT"/>
        </w:rPr>
        <w:t>Conte: "Pandemia prova difficilissima per le imprese ma fondi Recovery Fund consentono di essere ambiziosi e reinventare il Paese"</w:t>
      </w:r>
    </w:p>
    <w:p w:rsidR="00E20213" w:rsidRPr="00E20213" w:rsidRDefault="00E20213" w:rsidP="00E202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13131"/>
          <w:sz w:val="18"/>
          <w:szCs w:val="18"/>
          <w:lang w:eastAsia="it-IT"/>
        </w:rPr>
      </w:pPr>
      <w:hyperlink r:id="rId4" w:anchor="commenti" w:history="1">
        <w:r w:rsidRPr="00E20213">
          <w:rPr>
            <w:rFonts w:ascii="Arial" w:eastAsia="Times New Roman" w:hAnsi="Arial" w:cs="Arial"/>
            <w:b/>
            <w:bCs/>
            <w:color w:val="0050AA"/>
            <w:sz w:val="18"/>
            <w:szCs w:val="18"/>
            <w:lang w:eastAsia="it-IT"/>
          </w:rPr>
          <w:t>commenta</w:t>
        </w:r>
      </w:hyperlink>
      <w:r w:rsidRPr="00E20213">
        <w:rPr>
          <w:rFonts w:ascii="Arial" w:eastAsia="Times New Roman" w:hAnsi="Arial" w:cs="Arial"/>
          <w:color w:val="313131"/>
          <w:sz w:val="18"/>
          <w:szCs w:val="18"/>
          <w:lang w:eastAsia="it-IT"/>
        </w:rPr>
        <w:t> </w:t>
      </w:r>
      <w:hyperlink r:id="rId5" w:history="1">
        <w:r w:rsidRPr="00E20213">
          <w:rPr>
            <w:rFonts w:ascii="Arial" w:eastAsia="Times New Roman" w:hAnsi="Arial" w:cs="Arial"/>
            <w:b/>
            <w:bCs/>
            <w:color w:val="0050AA"/>
            <w:sz w:val="18"/>
            <w:szCs w:val="18"/>
            <w:lang w:eastAsia="it-IT"/>
          </w:rPr>
          <w:t>altre news</w:t>
        </w:r>
      </w:hyperlink>
    </w:p>
    <w:p w:rsidR="00E20213" w:rsidRPr="00E20213" w:rsidRDefault="00E20213" w:rsidP="00E20213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999999"/>
          <w:sz w:val="18"/>
          <w:szCs w:val="18"/>
          <w:lang w:eastAsia="it-IT"/>
        </w:rPr>
      </w:pPr>
      <w:hyperlink r:id="rId6" w:history="1">
        <w:r w:rsidRPr="00E20213">
          <w:rPr>
            <w:rFonts w:ascii="Arial" w:eastAsia="Times New Roman" w:hAnsi="Arial" w:cs="Arial"/>
            <w:b/>
            <w:bCs/>
            <w:color w:val="FF8000"/>
            <w:sz w:val="18"/>
            <w:szCs w:val="18"/>
            <w:lang w:eastAsia="it-IT"/>
          </w:rPr>
          <w:t>Economia</w:t>
        </w:r>
      </w:hyperlink>
      <w:r w:rsidRPr="00E20213">
        <w:rPr>
          <w:rFonts w:ascii="Arial" w:eastAsia="Times New Roman" w:hAnsi="Arial" w:cs="Arial"/>
          <w:color w:val="999999"/>
          <w:sz w:val="18"/>
          <w:szCs w:val="18"/>
          <w:lang w:eastAsia="it-IT"/>
        </w:rPr>
        <w:t> · 22 settembre 2020 - 17.12</w:t>
      </w:r>
    </w:p>
    <w:p w:rsidR="00E20213" w:rsidRPr="00E20213" w:rsidRDefault="00E20213" w:rsidP="00E202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13131"/>
          <w:sz w:val="18"/>
          <w:szCs w:val="18"/>
          <w:lang w:eastAsia="it-IT"/>
        </w:rPr>
      </w:pPr>
      <w:hyperlink r:id="rId7" w:tgtFrame="_blank" w:tooltip="Più..." w:history="1">
        <w:r w:rsidRPr="00E20213">
          <w:rPr>
            <w:rFonts w:ascii="Arial" w:eastAsia="Times New Roman" w:hAnsi="Arial" w:cs="Arial"/>
            <w:b/>
            <w:bCs/>
            <w:color w:val="333333"/>
            <w:sz w:val="17"/>
            <w:szCs w:val="17"/>
            <w:bdr w:val="none" w:sz="0" w:space="0" w:color="auto" w:frame="1"/>
            <w:lang w:eastAsia="it-IT"/>
          </w:rPr>
          <w:t>0</w:t>
        </w:r>
      </w:hyperlink>
    </w:p>
    <w:p w:rsidR="00E20213" w:rsidRPr="00E20213" w:rsidRDefault="00E20213" w:rsidP="00E20213">
      <w:pPr>
        <w:shd w:val="clear" w:color="auto" w:fill="FFFFFF"/>
        <w:spacing w:after="105" w:line="360" w:lineRule="atLeast"/>
        <w:rPr>
          <w:rFonts w:ascii="Arial" w:eastAsia="Times New Roman" w:hAnsi="Arial" w:cs="Arial"/>
          <w:color w:val="313131"/>
          <w:sz w:val="34"/>
          <w:szCs w:val="34"/>
          <w:lang w:eastAsia="it-IT"/>
        </w:rPr>
      </w:pPr>
      <w:r w:rsidRPr="00E20213">
        <w:rPr>
          <w:rFonts w:ascii="Arial" w:eastAsia="Times New Roman" w:hAnsi="Arial" w:cs="Arial"/>
          <w:noProof/>
          <w:color w:val="313131"/>
          <w:sz w:val="34"/>
          <w:szCs w:val="34"/>
          <w:lang w:eastAsia="it-IT"/>
        </w:rPr>
        <w:drawing>
          <wp:inline distT="0" distB="0" distL="0" distR="0">
            <wp:extent cx="2857500" cy="1790700"/>
            <wp:effectExtent l="0" t="0" r="0" b="0"/>
            <wp:docPr id="1" name="Immagine 1" descr="Generali, Welfare Champion 2020: le 78 imprese premi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phContents_imgBody" descr="Generali, Welfare Champion 2020: le 78 imprese premia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213" w:rsidRPr="00E20213" w:rsidRDefault="00E20213" w:rsidP="00E20213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313131"/>
          <w:sz w:val="34"/>
          <w:szCs w:val="34"/>
          <w:lang w:eastAsia="it-IT"/>
        </w:rPr>
      </w:pP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(Teleborsa) - Sono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78 le imprese Welfare Champion 2020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 (più che triplicate rispetto al 2017) che hanno ottenuto le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 5 W del rating Welfare Index PMI.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 Premiate oggi dal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presidente del Consiglio dei ministri Giuseppe Conte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, alla presenza del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sottosegretario di Stato per il Lavoro e le Politiche Sociali, Stanislao Di Piazza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 xml:space="preserve">, le Pmi selezionate si sono distinte per aver messo salute e sicurezza al centro degli obiettivi aziendali e aver accresciuto il loro impegno anche in assistenza, formazione, conciliazione vita lavoro: dai tamponi, ai test sierologici, alle iniziative aperte a tutto il territorio e di sostegno al sistema sanitario nazionale, ai quali si sono aggiunti progetti di formazione a distanza, integrazione al 100% del reddito dei dipendenti in cassa integrazione e nuove modalità di lavoro. Imprese che sono state il punto di riferimento fondamentale per i dipendenti, le loro famiglie, e le comunità. Si tratta delle realtà caratterizzate dal sistema di welfare più ampio (per numero di aree attivate) e che si contraddistinguono per numerosità e intensità delle iniziative, grado di coinvolgimento dei lavoratori e impegno economico e organizzativo nel welfare aziendale. Caratteristica determinate 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lastRenderedPageBreak/>
        <w:t>dimostrata dalle Welfare Champion quest'anno è stata, in particolare, la "grande capacità di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reazione e resilienza all'impatto della crisi Covid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".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  <w:t>La cerimonia avvenuta in occasione della presentazione del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Rapporto 2020 - Welfare Index PMI,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 promosso da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Generali Italia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 e giunto alla quinta edizione, ha visto la partecipazione, nella cornice dello Spazio Roma Eventi di Piazza di Spagna, di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 Marco Sesana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, country manager &amp; Ceo Generali Italia e Global Business Lines;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Giancarlo Turati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, vice presidente di Piccola Industria con delega al Welfare e Relazioni Industriali,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Massimiliano Giansanti,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 presidente di Confagricoltura;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Cesare Fumagalli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, segretario generale di Confartigianato Imprese;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 Gaetano Stella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, presidente di Confprofessioni; Donatella Prampolini, presidente della Commissione Sindacale di Confcommercio;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Lucia Sciacca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, direttore Comunicazione e Sostenibilità di Generali Italia e Global Business Lines e Membro del Comitato Welfare Index PMI; e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Enea Dallaglio,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 ricercatore Welfare Index PMI e partner Innovation Team – Gruppo Cerved.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  <w:t>"Quest'anno questo premio è ancor più importante perché ci sono state tantissime imprese che hanno dimostrato la loro resilienza. Sono cosciente del fatto – ha affermato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Conte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 – che dietro ci sono stati grandissimi sacrifici. Sono stato stupito dalla capacità di reazione delle imprese. Questa pandemia è stata un prova difficilissima, non è ancora terminata, non dobbiamo abbassare la guardia. Se guardiamo i Paesi a noi vicini vediamo che il livello di contagio sta aumentando. Dobbiamo essere però anche più ambiziosi, abbiamo la possibilità di farlo. Le risorse dell'Ue, i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209 miliardi del Recovery Fund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 xml:space="preserve"> , ci consentiranno di essere ambiziosi nel traguardo di reinventare il nostro Paese e ripensare alle vecchie categorie. Reinventare una nuova normalità migliorando quella precedente. Tener conto delle ricadute sul piano sociale delle iniziative di impresa deve far parte del nostro Dna: non c'è crescita che sia solo 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lastRenderedPageBreak/>
        <w:t>affidata al Pil senza sviluppo ambientale, sociale e sostenibile. Noi ce la metteremo tutta".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  <w:t>"In questo nuovo contesto del Covid-19, attraverso Welfare Index PMI, – ha affermato </w:t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Sesana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 – abbiamo osservato come le imprese hanno agito come soggetto sociale, oltre che economico e di mercato, per la loro diffusione nel territorio e per la vicinanza ai lavoratori e alle famiglie, dando vita a un nuovo welfare di sussidiarietà. Sono straordinarie storie di resilienza delle nostre PMI e ringrazio il Presidente del Consiglio dei Ministri, Giuseppe Conte, e il Sottosegretario di Stato per il Lavoro e le Politiche Sociali, Stanislao Di Piazza, per aver premiato le 78 imprese Welfare Champion 2020. Le imprese con un welfare più maturo sono state punto di riferimento delle comunità e hanno avuto maggiore capacità di reazione durante l'emergenza Covid. Il maggior numero di iniziative intraprese interessano le priorità del Paese: salute, sicurezza, assistenza, formazione, conciliazione vita lavoro. Questo oggi ci conferma che il welfare, oltre ad essere strategico per la crescita delle imprese, sarà leva per la ripresa sostenibile del Paese".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LE 78 PMI WELFARE CHAMPION 2020 — 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Di seguito le imprese premiate nei diversi settori Industria, Commercio e Servizi, Agricoltura, Terzo Settore, Studi e Servizi Professionali, e Artigianato.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Industria: 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 xml:space="preserve">AEPI Industrie Srl Bologna, Emilia Romagna; B+B International Srl Treviso, Veneto; Brovedani Group Spa Pordenone, Friuli Venezia Giulia; Co.Mac. Srl Bergamo, Lombardia; Eisai Srl Milano, Lombardia; Elettronica Spa Roma, Lazio; Europea Microfusioni Aerospaziali Spa Avellino, Campania; Fairmat Srl Verona, Veneto; Flamma Spa Bergamo, Lombardia; Giacomini Spa Novara, Piemonte; Grissinificio Linea DERBY Srl Torino, Piemonte; Kohler Srl Reggio Emilia, Emilia Romagna; Labanalysis Srl Pavia, Lombardia; MASMEC Spa Bari, Puglia; Mazzucchelli 1849 Spa Varese, Lombardia; 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lastRenderedPageBreak/>
        <w:t>Monini Spa Perugia, Umbria; Monnalisa Spa Arezzo, Toscana; Nep Srl Venezia, Veneto; OMET Srl Lecco, Lombardia; Performance In Lighting Spa Verona, Veneto; Planetek Italia Srl Bari, Puglia; Rivoira Srl Milano, Lombardia; Röchling Automotive Italia Srl Bolzano, Trentino Alto Adige; Rubinetterie Bresciane Bonomi Spa Brescia, Lombardia; Selle Royal Spa Vicenza, Veneto; STILL Spa Reggio Emilia, Emilia Romagna; Suanfarma Italia Spa Trento, Trentino Alto Adige; TeaPak Srl Bologna, Emilia Romagna - Industria; UMBRAGROUP Spa Perugia, Umbria - Industria; Vimar Spa Vicenza, Veneto; W&amp;H Sterilization Srl Bergamo, Lombardia.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br/>
        <w:t>Commercio e Servizi: 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Amag Spa Alessandria, Piemonte; Banca Alpi Marittime Credito Cooperativo Carrù Cuneo, Piemonte;beanTech Srl Udine, Friuli Venezia Giuliai; Bureau Veritas Italia Spa Milano, Lombardia; Cefriel Milano, Lombardia; ChemService Srl Milano, Lombardia; Connecthub Mantova, Lombardia; Dadina Srl Bologna, Emilia Romagna; Enrico Cantù Assicurazioni Srl Varese, Lombardia; Farco Group Brescia, Lombardia; Gruppo SAVE Venezia, Veneto; Gruppo Società Gas Rimini Spa Rimini, Emilia Romagna; Illumia Spa Bologna, Emilia Romagna; Karrell Srl Verona, Veneto; Paolo Trilli, Iascone, Merelli, Papini &amp; C. Sas Firenze, Toscana; Sis.Ter Srl Bologna, Emilia Romagna; Staff Spa Mantova, Lombardia; Welcome Italia Spa Lucca, Toscana.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br/>
        <w:t>Terzo Settore: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 xml:space="preserve"> Baobab Cooperativa Sociale Varese, Lombardia; Dopo Di Noi Società Cooperativa Udine, Friuli Venezia Giulia; Il Pugno Aperto Società Cooperativa Sociale Bergamo, Lombardia; La Dua Valadda Società Cooperativa Sociale Torino, Piemonte; La Grande Casa Società Cooperativa Sociale Onlus Milano, Lombardia; Paolo Babini Cooperativa di Solidarietà Sociale Forlì-Cesena, Emilia Romagna; Serena Società Cooperativa Sociale Onlus Ferrara, Emilia Romagna; SISIFO Consorzio Cooperative Sociali Catania, Sicilia; Sostene Società Cooperativa Sociale Padova, 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lastRenderedPageBreak/>
        <w:t>Veneto; Specchio Magico Cooperativa Sociale Onlus Lecco, Lombardia.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br/>
        <w:t>Studi e Servizi Professionali: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 Artigianservizi Srl Perugia, Umbria; B.M.N. Salus Srl Isernia, Molise; Ferri Engineering Studio Associato Modena, Emilia Romagna; Gianni, Origoni, Grippo, Cappelli &amp; Partners Roma, Lazio; Portolano Cavallo Studio Legale Roma, Lazio; Studio Furfaro Torino, Piemonte; Studio Sila Tommaso Brescia, Lombardia.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Agricoltura: 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Agrimad Srl Cosenza, Calabria; COLLERONI Srl Siracusa, Sicilia; La Fraternità Soc Coop Soc Arl Onlus Rimini, Emilia Romagna - Agricoltura Sociale; Mariscò - Azienda Agricola Laura Bargione Palermo, Sicilia; Natura Iblea Srl Ragusa, Sicilia; Peverelli Srl Como, Lombardia; Verdebionatura - Non Solo Piccoli Frutti Sondrio, Lombardia.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br/>
      </w:r>
      <w:r w:rsidRPr="00E20213">
        <w:rPr>
          <w:rFonts w:ascii="Arial" w:eastAsia="Times New Roman" w:hAnsi="Arial" w:cs="Arial"/>
          <w:b/>
          <w:bCs/>
          <w:color w:val="313131"/>
          <w:sz w:val="34"/>
          <w:szCs w:val="34"/>
          <w:lang w:eastAsia="it-IT"/>
        </w:rPr>
        <w:t>Artigianato: </w:t>
      </w:r>
      <w:r w:rsidRPr="00E20213">
        <w:rPr>
          <w:rFonts w:ascii="Arial" w:eastAsia="Times New Roman" w:hAnsi="Arial" w:cs="Arial"/>
          <w:color w:val="313131"/>
          <w:sz w:val="34"/>
          <w:szCs w:val="34"/>
          <w:lang w:eastAsia="it-IT"/>
        </w:rPr>
        <w:t>CTB Air Technology Srl Monza e Brianza, Lombardia; Effebbi Arredamenti Snc Como, Lombardia; Equilibrio e Benessere Srl Mantova, Lombardia; Galvanica Sata Srl Brescia, Lombardia; Metal.B. Srl Vicenza, Veneto.</w:t>
      </w:r>
    </w:p>
    <w:p w:rsidR="00D030C9" w:rsidRDefault="00D030C9">
      <w:bookmarkStart w:id="0" w:name="_GoBack"/>
      <w:bookmarkEnd w:id="0"/>
    </w:p>
    <w:sectPr w:rsidR="00D030C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213"/>
    <w:rsid w:val="00D030C9"/>
    <w:rsid w:val="00E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095AA5-2BC3-4FA6-8D85-F4DB43182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E202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E202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0213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20213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E20213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E202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0626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571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82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81041">
          <w:marLeft w:val="0"/>
          <w:marRight w:val="0"/>
          <w:marTop w:val="75"/>
          <w:marBottom w:val="0"/>
          <w:divBdr>
            <w:top w:val="single" w:sz="6" w:space="11" w:color="E4E4E4"/>
            <w:left w:val="none" w:sz="0" w:space="8" w:color="auto"/>
            <w:bottom w:val="none" w:sz="0" w:space="8" w:color="auto"/>
            <w:right w:val="none" w:sz="0" w:space="8" w:color="auto"/>
          </w:divBdr>
          <w:divsChild>
            <w:div w:id="1085299428">
              <w:marLeft w:val="0"/>
              <w:marRight w:val="225"/>
              <w:marTop w:val="6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s://www.teleborsa.it/News/2020/09/22/generali-welfare-champion-2020-le-78-imprese-premiate-5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eleborsa.it/News/Economia" TargetMode="External"/><Relationship Id="rId5" Type="http://schemas.openxmlformats.org/officeDocument/2006/relationships/hyperlink" Target="https://www.teleborsa.it/New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teleborsa.it/News/2020/09/22/generali-welfare-champion-2020-le-78-imprese-premiate-59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2020-09-22T15:34:00Z</dcterms:created>
  <dcterms:modified xsi:type="dcterms:W3CDTF">2020-09-22T15:35:00Z</dcterms:modified>
</cp:coreProperties>
</file>